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62" w:rsidRPr="00794F62" w:rsidRDefault="00794F62" w:rsidP="00794F62">
      <w:pPr>
        <w:spacing w:after="300"/>
        <w:rPr>
          <w:rFonts w:asciiTheme="minorHAnsi" w:hAnsiTheme="minorHAnsi" w:cs="Arial"/>
          <w:b/>
          <w:bCs/>
          <w:color w:val="595959" w:themeColor="text1" w:themeTint="A6"/>
          <w:lang w:eastAsia="zh-CN"/>
        </w:rPr>
      </w:pPr>
      <w:bookmarkStart w:id="0" w:name="_GoBack"/>
      <w:bookmarkEnd w:id="0"/>
      <w:r w:rsidRPr="00794F62">
        <w:rPr>
          <w:rFonts w:asciiTheme="minorHAnsi" w:hAnsiTheme="minorHAnsi" w:cs="Arial"/>
          <w:b/>
          <w:bCs/>
          <w:color w:val="595959" w:themeColor="text1" w:themeTint="A6"/>
          <w:lang w:eastAsia="zh-CN"/>
        </w:rPr>
        <w:t>Bilance cestovního ruchu v Kutné Hoře za rok 2019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b/>
          <w:bCs/>
          <w:color w:val="595959" w:themeColor="text1" w:themeTint="A6"/>
          <w:sz w:val="22"/>
          <w:szCs w:val="22"/>
          <w:lang w:eastAsia="zh-CN"/>
        </w:rPr>
        <w:t xml:space="preserve">Spolu s nárůstem turistů po celém světě vzrůstá počet diskuzí na téma cestovního ruchu, které se přímo dotýkají také našeho města. Za rok 2019 vzrostla celková návštěvnost kutnohorských památek o 11 % čili téměř o 146 000 návštěvníků. 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Finanční přínos do městské kasy nelze jednoznačně vyjádřit, protože se týká i objektů a turistických cílů, které nespadají pod správu města. V rámci ČR je cestovní ruch hodnocen pomocí satelitního účtu cestovního ruchu a v roce 2017 byl vyhodnocen jeho podíl 2,9 % na hrubém domácím produktu ČR. Do přínosů cestovního ruchu v Kutné Hoře, které je možné vyčíslit, spadají tržby informačního centra (IC) za prodané suvenýry. Tržby se od 2013 zdvojnásobily. Celkové příjmy IC města Kutné Hory činily loni 1 521 152 korun. Poplatky z ubytovací kapacity spolu s poplatkem lázeňským a rekreačním v roce 2019 přinesly 1 450 338 korun do městské kasy. Nově budou dle zákona č. 278/2019 Sb. nahrazeny poplatkem z pobytu ve výši 21 korun za den, což je součet dvou předchozích poplatků, tedy maximální možnou výši, kterou zákon umožňuje. Stejnou výši poplatku z pobytu lidé zaplatí ve většině turistických měst v ČR jako například v Českém Krumlově, Praze, Třeboni, Špindlerově Mlýně apod.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Kutná Hora se dlouhodobě potýká s problémem parkování turistických autobusů. K řešení situace by mohl dopomoci nový generel dopravy, který bude dokončen v březnu. Cílem je vytvořit takový systém, který umožní pohodlné parkování autobusů, ale také neomezí místní v pohybu po městě</w:t>
      </w: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 xml:space="preserve">. 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V minulém roce činily příjmy z parkovacích automatů 1 891 242 korun, opět ovšem nelze rozlišit vlastnictví auta, tedy v jakém poměru se tato částka týká návštěvníků a rezidentů.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Co se týče rozpočtu města pro rok 2019, rozpočet oddělení cestovního ruchu a marketingu (dále jen OCRM) činil pouhé 1 % z celkového rozpočtu města. </w:t>
      </w:r>
      <w:hyperlink r:id="rId8" w:history="1"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>OCRM</w:t>
        </w:r>
      </w:hyperlink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 má na starost mimo jiné provoz IC na Palackého náměstí a na hlavním vlakovém nádraží. Toto oddělení také úzce spolupracuje a metodicky řídí příspěvkovou organizaci města Průvodcovskou službu Kutná Hora. A v neposlední řadě zajišťuje propagaci města. V roce 2019 byla Kutná Hora prezentována na šesti veletrzích v ČR, navštívilo ji víc než 367 novinářů a zástupců cestovních kanceláří a byla pro ně připravena bohatá poznávací cesta. Tyto návštěvy vyplývají ze spolupráce se Středočeskou centrálou cestovního ruchu a agenturou </w:t>
      </w:r>
      <w:proofErr w:type="spellStart"/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Czechtourism</w:t>
      </w:r>
      <w:proofErr w:type="spellEnd"/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.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Propagace města je směřována hlavně k českým turistům. Cílíme tedy na rodiny s dětmi, seniory, sportovce a milovníky kultury a historie. Kutnou Horu vždy prezentujeme jako balíček služeb a atraktivních cílů, které se nevejdou do jednoho dne. Velkou část propagace také zprostředkovávají kutnohorské farnosti, které mají ve své správě dvě nejnavštěvovanější památky. V roce 2019 vznikla navíc </w:t>
      </w:r>
      <w:hyperlink r:id="rId9" w:history="1"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>Turistická oblast Kutnohorsko a Kolínsko,</w:t>
        </w:r>
      </w:hyperlink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 která bude propagovat celou oblast a nabídne návštěvníkům turistické atraktivity a balíčky, pro které se vyplatí v oblasti zůstat déle. Na OCRM aktivně sledujeme trendy v cestovním ruchu a marketingu a snažíme se jim přizpůsobovat. V oblasti cestovního ruchu momentálně roste individuální turistika, což je pro Kutnou Horu dobré znamení.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 xml:space="preserve">„Věřím tomu, že cestovní ruch se může pro Kutnou Horu stát významným zdrojem financí, ale zároveň je důležité vždy myslet v této souvislosti také na občany našeho města. Vše, co má sloužit turistům, by mělo být využitelné i pro místní, a ne je omezovat,“ 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doplňuje místostarostka Silvia Doušová, která má cestovní ruch na starosti. </w:t>
      </w:r>
      <w:hyperlink r:id="rId10" w:history="1"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>Průvodcovská služba Kutná Hora, p. o.</w:t>
        </w:r>
      </w:hyperlink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 (dále jen PSKH), v tuto chvíli nabízí 10 okruhů městem, jichž v roce 2019 využilo téměř 9 000 návštěvníků. Minulý rok byly zavedeny nové prohlídky s názvem „</w:t>
      </w:r>
      <w:proofErr w:type="spellStart"/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Historkovné</w:t>
      </w:r>
      <w:proofErr w:type="spellEnd"/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“ a „Parkovné“, které odkrývají nejzajímavější historky města a historii parků v Kutné Hoře. Právě tyto prohlídky jsou zaměřeny nejen na turisty, ale také na místní obyvatele. Průvodcovská služba se rovněž orientuje na rozšíření kulturního vyžití v Kutné Hoře v podobě pořádání speciálních prohlídek a akcí, například kreativních tvořivých dílen, tematických koncertů, Vítání jara a programů pro 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lastRenderedPageBreak/>
        <w:t>místní základní a mateřské školy. „</w:t>
      </w: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>Fungování Průvodcovské služby probíhá s podporou paní místostarostky, která se zapojuje do akcí pořádaných PSKH a vede s ní debaty ohledně cestovního ruchu, plánování a možného růstu Průvodcovské služby do budoucna“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 uvádí ředitelka Průvodcovské služby Andrea Kapounková a dodává: „</w:t>
      </w: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 xml:space="preserve">Tak jako minulý rok i v roce 2020 budeme pokračovat ve spolupráci s kutnohorskými farnostmi, hotely a dalšími objekty. V roce 2019 jsme také nově navázali spolupráci s Měšťanským pivovarem a Muzeem knihtisku, kterou budeme nadále rozvíjet.“ 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 xml:space="preserve">„Cestovní ruch je potřeba plánovat dopředu, a myslet na jeho udržitelnost. Kutná Hora je stále město, kde lidé chtějí bydlet, probíhá zde spousta kulturních událostí, a bylo by škoda ho orientovat pouze na cestovní ruch. Naopak je potřeba nalákat místní obyvatele, aby se zvýšil pohyb v centru města,“ 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dodala Silvia Doušová</w:t>
      </w:r>
      <w:r w:rsidRPr="005656CE">
        <w:rPr>
          <w:rFonts w:asciiTheme="minorHAnsi" w:hAnsiTheme="minorHAnsi" w:cs="Arial"/>
          <w:i/>
          <w:iCs/>
          <w:color w:val="595959" w:themeColor="text1" w:themeTint="A6"/>
          <w:sz w:val="22"/>
          <w:szCs w:val="22"/>
          <w:lang w:eastAsia="zh-CN"/>
        </w:rPr>
        <w:t xml:space="preserve">. </w:t>
      </w:r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OCRM každý rok připravuje </w:t>
      </w:r>
      <w:hyperlink r:id="rId11" w:history="1"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>kulturní kalendář,</w:t>
        </w:r>
      </w:hyperlink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 xml:space="preserve"> který je dostupný v tištěné formě v informačních centrech, pravidelně v Kutnohorských listech, online na webu města a v roce 2019 jsme začali zveřejňovat víkendové akce na </w:t>
      </w:r>
      <w:hyperlink r:id="rId12" w:history="1">
        <w:proofErr w:type="spellStart"/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>Facebooku</w:t>
        </w:r>
        <w:proofErr w:type="spellEnd"/>
        <w:r w:rsidRPr="005656CE">
          <w:rPr>
            <w:rFonts w:asciiTheme="minorHAnsi" w:hAnsiTheme="minorHAnsi" w:cs="Arial"/>
            <w:color w:val="595959" w:themeColor="text1" w:themeTint="A6"/>
            <w:sz w:val="22"/>
            <w:szCs w:val="22"/>
            <w:lang w:eastAsia="zh-CN"/>
          </w:rPr>
          <w:t xml:space="preserve"> Kutná Hora</w:t>
        </w:r>
      </w:hyperlink>
      <w:r w:rsidRPr="005656CE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, na nějž ve spolupráci s oddělením kultury přidáváme i události, které město pořádá.</w:t>
      </w:r>
    </w:p>
    <w:p w:rsidR="00794F62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 w:rsidRPr="00794F62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t>V Kutné Hoře 4. 2. 2020</w:t>
      </w:r>
    </w:p>
    <w:p w:rsidR="00794F62" w:rsidRPr="005656CE" w:rsidRDefault="00794F62" w:rsidP="00794F62">
      <w:pPr>
        <w:spacing w:after="300"/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</w:pPr>
      <w:r>
        <w:rPr>
          <w:noProof/>
          <w:lang w:eastAsia="zh-CN"/>
        </w:rPr>
        <w:drawing>
          <wp:inline distT="0" distB="0" distL="0" distR="0" wp14:anchorId="646A586B" wp14:editId="1FAF08FB">
            <wp:extent cx="5989320" cy="460469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9587" t="19705" r="42864" b="12289"/>
                    <a:stretch/>
                  </pic:blipFill>
                  <pic:spPr bwMode="auto">
                    <a:xfrm>
                      <a:off x="0" y="0"/>
                      <a:ext cx="6008016" cy="4619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94F62">
        <w:rPr>
          <w:rFonts w:asciiTheme="minorHAnsi" w:hAnsiTheme="minorHAnsi" w:cs="Arial"/>
          <w:color w:val="595959" w:themeColor="text1" w:themeTint="A6"/>
          <w:sz w:val="22"/>
          <w:szCs w:val="22"/>
          <w:lang w:eastAsia="zh-CN"/>
        </w:rPr>
        <w:br/>
      </w:r>
    </w:p>
    <w:p w:rsidR="00794F62" w:rsidRPr="00794F62" w:rsidRDefault="00794F62" w:rsidP="00794F62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0B1F9C" w:rsidRPr="00794F62" w:rsidRDefault="000B1F9C" w:rsidP="00794F62">
      <w:pPr>
        <w:rPr>
          <w:rFonts w:eastAsia="Meiryo UI"/>
        </w:rPr>
      </w:pPr>
    </w:p>
    <w:sectPr w:rsidR="000B1F9C" w:rsidRPr="00794F62" w:rsidSect="002F5CB3">
      <w:headerReference w:type="default" r:id="rId14"/>
      <w:footerReference w:type="default" r:id="rId15"/>
      <w:pgSz w:w="11906" w:h="16838"/>
      <w:pgMar w:top="71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F7" w:rsidRDefault="00011BF7" w:rsidP="00736FC6">
      <w:r>
        <w:separator/>
      </w:r>
    </w:p>
  </w:endnote>
  <w:endnote w:type="continuationSeparator" w:id="0">
    <w:p w:rsidR="00011BF7" w:rsidRDefault="00011BF7" w:rsidP="007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2A" w:rsidRPr="00A6404F" w:rsidRDefault="005D3E2A" w:rsidP="005D3E2A">
    <w:pPr>
      <w:pStyle w:val="Zpat"/>
      <w:pBdr>
        <w:top w:val="single" w:sz="4" w:space="1" w:color="A5A5A5" w:themeColor="background1" w:themeShade="A5"/>
      </w:pBdr>
      <w:ind w:left="284"/>
      <w:jc w:val="center"/>
      <w:rPr>
        <w:rFonts w:asciiTheme="minorHAnsi" w:hAnsiTheme="minorHAnsi" w:cs="Tahoma"/>
        <w:color w:val="808080" w:themeColor="background1" w:themeShade="80"/>
        <w:sz w:val="18"/>
        <w:szCs w:val="18"/>
      </w:rPr>
    </w:pP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Město Kutná Hora, oddělení cestovního ruchu a marketingu, Havlíčkovo náměstí 552/1, 284 01 Kutná Hora</w:t>
    </w:r>
  </w:p>
  <w:p w:rsidR="002F5CB3" w:rsidRPr="00A6404F" w:rsidRDefault="002F5CB3" w:rsidP="005D3E2A">
    <w:pPr>
      <w:pStyle w:val="Zpat"/>
      <w:pBdr>
        <w:top w:val="single" w:sz="4" w:space="1" w:color="A5A5A5" w:themeColor="background1" w:themeShade="A5"/>
      </w:pBdr>
      <w:ind w:left="284"/>
      <w:jc w:val="center"/>
      <w:rPr>
        <w:rFonts w:asciiTheme="minorHAnsi" w:hAnsiTheme="minorHAnsi" w:cs="Tahoma"/>
        <w:color w:val="808080" w:themeColor="background1" w:themeShade="80"/>
        <w:sz w:val="18"/>
        <w:szCs w:val="18"/>
      </w:rPr>
    </w:pPr>
    <w:r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IČ: 00236195, DIČ: CZ00236195</w:t>
    </w:r>
    <w:r w:rsidR="009A3088" w:rsidRPr="00A6404F">
      <w:rPr>
        <w:rFonts w:asciiTheme="minorHAnsi" w:hAnsiTheme="minorHAnsi" w:cs="Tahoma"/>
        <w:color w:val="808080" w:themeColor="background1" w:themeShade="80"/>
        <w:sz w:val="18"/>
        <w:szCs w:val="18"/>
      </w:rPr>
      <w:t>, email: pravdovam@kutnahora.cz, tel.: +420 603 859 538</w:t>
    </w:r>
  </w:p>
  <w:p w:rsidR="002F5CB3" w:rsidRDefault="002F5CB3" w:rsidP="005D3E2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F7" w:rsidRDefault="00011BF7" w:rsidP="00736FC6">
      <w:r>
        <w:separator/>
      </w:r>
    </w:p>
  </w:footnote>
  <w:footnote w:type="continuationSeparator" w:id="0">
    <w:p w:rsidR="00011BF7" w:rsidRDefault="00011BF7" w:rsidP="007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C6" w:rsidRDefault="00736FC6" w:rsidP="00736FC6">
    <w:pPr>
      <w:pStyle w:val="Zhlav"/>
      <w:jc w:val="right"/>
    </w:pPr>
    <w:r>
      <w:rPr>
        <w:noProof/>
        <w:lang w:eastAsia="zh-CN"/>
      </w:rPr>
      <w:drawing>
        <wp:inline distT="0" distB="0" distL="0" distR="0" wp14:anchorId="59B72A56" wp14:editId="62E00CDE">
          <wp:extent cx="2055523" cy="49530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944" cy="50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FC6" w:rsidRDefault="00736FC6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šová Silvia">
    <w15:presenceInfo w15:providerId="AD" w15:userId="S-1-5-21-1103133246-20988406-1234779376-8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F"/>
    <w:rsid w:val="00011BF7"/>
    <w:rsid w:val="000B1F9C"/>
    <w:rsid w:val="001A50C2"/>
    <w:rsid w:val="002E1954"/>
    <w:rsid w:val="002F5CB3"/>
    <w:rsid w:val="002F7B31"/>
    <w:rsid w:val="0033389F"/>
    <w:rsid w:val="003805D2"/>
    <w:rsid w:val="004D0A5D"/>
    <w:rsid w:val="00512B6A"/>
    <w:rsid w:val="005D3E2A"/>
    <w:rsid w:val="006B3378"/>
    <w:rsid w:val="00736FC6"/>
    <w:rsid w:val="00794F62"/>
    <w:rsid w:val="007C3060"/>
    <w:rsid w:val="007E43EA"/>
    <w:rsid w:val="0087072E"/>
    <w:rsid w:val="00873259"/>
    <w:rsid w:val="008D4076"/>
    <w:rsid w:val="009A3088"/>
    <w:rsid w:val="009E561F"/>
    <w:rsid w:val="00A42665"/>
    <w:rsid w:val="00A50C15"/>
    <w:rsid w:val="00A64003"/>
    <w:rsid w:val="00A6404F"/>
    <w:rsid w:val="00AB26E8"/>
    <w:rsid w:val="00B35D6A"/>
    <w:rsid w:val="00B758F7"/>
    <w:rsid w:val="00BB1D1D"/>
    <w:rsid w:val="00BE2FD5"/>
    <w:rsid w:val="00C45AAF"/>
    <w:rsid w:val="00C6375C"/>
    <w:rsid w:val="00C67CE6"/>
    <w:rsid w:val="00CE0ACA"/>
    <w:rsid w:val="00D7164B"/>
    <w:rsid w:val="00D80084"/>
    <w:rsid w:val="00DB7A3D"/>
    <w:rsid w:val="00DD31E3"/>
    <w:rsid w:val="00E3004A"/>
    <w:rsid w:val="00ED25AE"/>
    <w:rsid w:val="00ED418D"/>
    <w:rsid w:val="00F13856"/>
    <w:rsid w:val="00F950EF"/>
    <w:rsid w:val="00FB52F1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D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25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F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FC6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716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1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716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1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1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D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25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F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6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FC6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716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71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716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1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oddeleni-cestovniho-ruchu-a-marketingu" TargetMode="Externa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kutnahor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tinace.kutnahora.cz/modules/calendar/?rewrite=modules/calend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skh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utnohorskokolinsk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1416-D8AF-4E47-AFBA-939C5D5B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Pravdova</dc:creator>
  <cp:lastModifiedBy>Lenka</cp:lastModifiedBy>
  <cp:revision>2</cp:revision>
  <cp:lastPrinted>2020-05-04T07:39:00Z</cp:lastPrinted>
  <dcterms:created xsi:type="dcterms:W3CDTF">2020-05-04T08:22:00Z</dcterms:created>
  <dcterms:modified xsi:type="dcterms:W3CDTF">2020-05-04T08:22:00Z</dcterms:modified>
</cp:coreProperties>
</file>